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6945"/>
        <w:gridCol w:w="345"/>
        <w:tblGridChange w:id="0">
          <w:tblGrid>
            <w:gridCol w:w="2070"/>
            <w:gridCol w:w="6945"/>
            <w:gridCol w:w="345"/>
          </w:tblGrid>
        </w:tblGridChange>
      </w:tblGrid>
      <w:tr>
        <w:trPr>
          <w:trHeight w:val="62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before="120" w:line="288" w:lineRule="auto"/>
              <w:ind w:left="-120" w:firstLine="0"/>
              <w:contextualSpacing w:val="0"/>
              <w:rPr>
                <w:sz w:val="32"/>
                <w:szCs w:val="32"/>
              </w:rPr>
            </w:pPr>
            <w:bookmarkStart w:colFirst="0" w:colLast="0" w:name="_kw6cm4pnw93a" w:id="0"/>
            <w:bookmarkEnd w:id="0"/>
            <w:r w:rsidDel="00000000" w:rsidR="00000000" w:rsidRPr="00000000">
              <w:rPr>
                <w:sz w:val="32"/>
                <w:szCs w:val="32"/>
                <w:rtl w:val="0"/>
              </w:rPr>
              <w:t xml:space="preserve">Supporting Question 2: American Government</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70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b w:val="1"/>
                <w:sz w:val="24"/>
                <w:szCs w:val="24"/>
              </w:rPr>
            </w:pPr>
            <w:r w:rsidDel="00000000" w:rsidR="00000000" w:rsidRPr="00000000">
              <w:rPr>
                <w:b w:val="1"/>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i w:val="1"/>
                <w:sz w:val="24"/>
                <w:szCs w:val="24"/>
              </w:rPr>
            </w:pPr>
            <w:r w:rsidDel="00000000" w:rsidR="00000000" w:rsidRPr="00000000">
              <w:rPr>
                <w:b w:val="1"/>
                <w:sz w:val="24"/>
                <w:szCs w:val="24"/>
                <w:rtl w:val="0"/>
              </w:rPr>
              <w:t xml:space="preserve">Source B: </w:t>
            </w:r>
            <w:r w:rsidDel="00000000" w:rsidR="00000000" w:rsidRPr="00000000">
              <w:rPr>
                <w:sz w:val="24"/>
                <w:szCs w:val="24"/>
                <w:rtl w:val="0"/>
              </w:rPr>
              <w:t xml:space="preserve"> Excerpts from </w:t>
            </w:r>
            <w:r w:rsidDel="00000000" w:rsidR="00000000" w:rsidRPr="00000000">
              <w:rPr>
                <w:i w:val="1"/>
                <w:sz w:val="24"/>
                <w:szCs w:val="24"/>
                <w:rtl w:val="0"/>
              </w:rPr>
              <w:t xml:space="preserve">Plessy v. Ferguson</w:t>
            </w:r>
          </w:p>
          <w:p w:rsidR="00000000" w:rsidDel="00000000" w:rsidP="00000000" w:rsidRDefault="00000000" w:rsidRPr="00000000">
            <w:pPr>
              <w:contextualSpacing w:val="0"/>
              <w:rPr>
                <w:i w:val="1"/>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t xml:space="preserve">Syllabus [Facts of the Case]</w:t>
        <w:br w:type="textWrapping"/>
        <w:br w:type="textWrapping"/>
        <w:t xml:space="preserve">The statute of Louisiana, acts of 1890, c. 111, requiring railway companies carrying passengers in their coaches in that State, to provide equal, but separate, accommodations for the white and colored races, by providing two or more passenger coaches for each passenger train, or by dividing the passenger coaches by a partition so as to secure separate accommodations; and providing that no person shall be permitted to occupy seats in coaches other than the ones assigned to them, on account of the race they belong to; and requiring the officer of the passenger train to assign each passenger to the coach or compartment assigned for the race to which he or she belong; and imposing fines or imprisonment upon passengers insisting on going into a coach or compartment other than the one set aide for the race to which he or she belongs; and conferring upon officers of the train power to refuse to carry on the train passengers refusing to occupy the coach or compartment assigned to them, and exempting the railway company from liability for such refusal, are not in conflict with the provisions either of the Thirteenth Amendment or of the Fourteenth Amendment to the Constitution of the United States. ...</w:t>
        <w:br w:type="textWrapping"/>
        <w:br w:type="textWrapping"/>
        <w:t xml:space="preserve">That petitioner was a citizen of the United States and a resident of the State of Louisiana, of mixed descent, in the proportion of seven eighths Caucasian and one eighth African blood; that the mixture of colored blood was not discernible in him, and that he was entitled to every recognition, right, privilege and immunity secured to the citizens of the United States of the white race by its Constitution and laws; that, on June 7, 1892, he engaged and paid for a first class passage on the East Louisiana Railway from New Orleans to Covington, in the same State, and thereupon entered a passenger train, and took possession of a vacant seat in a coach where passengers of the white race were accommodated; that such railroad company was incorporated by the laws of Louisiana as a common carrier, and was not authorized to distinguish between citizens according to their race. But, notwithstanding this, petitioner was required by the conductor, under penalty of ejection from said train and imprisonment, to vacate said coach and occupy another seat in a coach assigned by said company for persons not of the white race, and for no other reason than that petitioner was of the colored race; that, upon petitioner's refusal to comply with such order, he was, with the aid of a police officer, forcibly ejected from said coach and hurried off to and imprisoned in the parish jail of New Orleans, and there held to answer a charge made by such officer to the effect that he was guilty of having criminally violated an act of the General Assembly of the State, approved July 10, 1890, in such case made and provided. ....</w:t>
        <w:br w:type="textWrapping"/>
        <w:br w:type="textWrapping"/>
        <w:t xml:space="preserve">MR. JUSTICE BROWN, after stating the case, delivered the opinion of the court.</w:t>
        <w:br w:type="textWrapping"/>
        <w:br w:type="textWrapping"/>
        <w:t xml:space="preserve">This case turns upon the constitutionality of an act of the General Assembly of the State of Louisiana, passed in 1890, providing for separate railway carriages for the white and colored races. ...</w:t>
        <w:br w:type="textWrapping"/>
        <w:br w:type="textWrapping"/>
        <w:t xml:space="preserve">The information filed in the criminal District Court charged in substance that Plessy, being a passenger between two stations within the State of Louisiana, was assigned by officers of the company to the coach used for the race to which he belonged, but he insisted upon going into a coach used by the race to which he did not belong. Neither in the information nor plea was his particular race or color averred. The petition for the writ of prohibition averred that petitioner was seven-eighths Caucasian and one eighth African blood; that the mixture of colored blood was not discernible in him, and that he was entitled to every right, privilege and immunity secured to citizens of the United States of the white race; and that, upon such theory, he took possession of a vacant seat in a coach where passengers of the white race were accommodated, and was ordered by the conductor to vacate said coach and take a seat in another assigned to persons of the colored race, and, having refused to comply with such demand, he was forcibly ejected with the aid of a police officer, and imprisoned in the parish jail to answer a charge of having violated the above act.</w:t>
        <w:br w:type="textWrapping"/>
        <w:br w:type="textWrapping"/>
        <w:t xml:space="preserve">The constitutionality of this act is attacked upon the ground that it conflicts ... the Fourteenth Amendment, which prohibits certain restrictive legislation on the part of the States. ...</w:t>
        <w:br w:type="textWrapping"/>
        <w:br w:type="textWrapping"/>
        <w:t xml:space="preserve">2. By the Fourteenth Amendment, all persons born or naturalized in the United States and subject to the jurisdiction thereof are made citizens of the United States and of the State wherein they reside, and the States are forbidden from making or enforcing any law which shall abridge the privileges or immunities of citizens of the United States, or shall deprive any person of life, liberty, or property without due process of law, or deny to any person within their jurisdiction the equal protection of the laws. ….</w:t>
        <w:br w:type="textWrapping"/>
        <w:br w:type="textWrapping"/>
        <w:t xml:space="preserve">The object of the amendment was undoubtedly to enforce the absolute equality of the two races before the law, but, in the nature of things, it could not have been intended to abolish distinctions based upon color, or to enforce social, as distinguished from political, equality, or a commingling of the two races upon terms unsatisfactory to either. Laws permitting, and even requiring, their separation in places where they are liable to be brought into contact do not necessarily imply the inferiority of either race to the other, and have been generally, if not universally, recognized as within the competency of the state legislatures in the exercise of their police power. The most common instance of this is connected with the establishment of separate schools for white and colored children, which has been held to be a valid exercise of the legislative power even by courts of States where the political rights of the colored race have been longest and most earnestly enforced. ...</w:t>
        <w:br w:type="textWrapping"/>
        <w:br w:type="textWrapping"/>
        <w:t xml:space="preserve">The distinction between laws interfering with the political equality of the negro and those requiring the separation of the two races in schools, theatres and railway carriages has been frequently drawn by this court.  …</w:t>
        <w:br w:type="textWrapping"/>
        <w:br w:type="textWrapping"/>
        <w:t xml:space="preserve">While we think the enforced separation of the races, as applied to the internal commerce of the State, neither abridges the privileges or immunities of the colored man, deprives him of his property without due process of law, nor denies him the equal protection of the laws within the meaning of the Fourteenth Amendment, we are not prepared to say that the conductor, in assigning passengers to the coaches according to their race, does not act at his peril, or that the provision of the second section of the act that denies to the passenger compensation in damages for a refusal to receive him into the coach in which he properly belongs is a valid exercise of the legislative power. … The power to assign to a particular coach obviously implies the power to determine to which race the passenger belongs, as well as the power to determine who, under the laws of the particular State, is to be deemed a white and who a colored person. ...</w:t>
        <w:br w:type="textWrapping"/>
        <w:br w:type="textWrapping"/>
        <w:t xml:space="preserve">It is claimed by the plaintiff in error that, in any mixed community, the reputation of belonging to the dominant race, in this instance the white race, is property in the same sense that a right of action or of inheritance is property. Conceding this to be so for the purposes of this case, we are unable to see how this statute deprives him of, or in any way affects his right to, such property. If he be a white man and assigned to a colored coach, he may have his action for damages against the company for being deprived of his so-called property. Upon the other hand, if he be a colored man and be so assigned, he has been deprived of no property, since he is not lawfully entitled to the reputation of being a white man. …</w:t>
        <w:br w:type="textWrapping"/>
        <w:br w:type="textWrapping"/>
        <w:t xml:space="preserve"> We consider the underlying fallacy of the plaintiff's argument to consist in the assumption that the enforced separation of the two races stamps the colored race with a badge of inferiority. If this be so, it is not by reason of anything found in the act, but solely because the colored race chooses to put that construction upon it. The argument necessarily assumes that if, as has been more than once the case and is not unlikely to be so again, the colored race should become the dominant power in the state legislature, and should enact a law in precisely similar terms, it would thereby relegate the white race to an inferior position. We imagine that the white race, at least, would not acquiesce in this assumption. The argument also assumes that social prejudices may be overcome by legislation, and that equal rights cannot be secured to the negro except by an enforced commingling of the two races. We cannot accept this proposition. If the two races are to meet upon terms of social equality, it must be the result of natural affinities, a mutual appreciation of each other's merits, and a voluntary consent of individuals. ...</w:t>
        <w:br w:type="textWrapping"/>
        <w:br w:type="textWrapping"/>
        <w:t xml:space="preserve">Legislation is powerless to eradicate racial instincts or to abolish distinctions based upon physical differences, and the attempt to do so can only result in accentuating the difficulties of the present situation. If the civil and political rights of both races be equal, one cannot be inferior to the other civilly or politically. If one race be inferior to the other socially, the Constitution of the United States cannot put them upon the same plane. ...</w:t>
        <w:br w:type="textWrapping"/>
        <w:br w:type="textWrapping"/>
        <w:t xml:space="preserve">The judgment of the court below is, therefore,</w:t>
        <w:br w:type="textWrapping"/>
        <w:br w:type="textWrapping"/>
        <w:t xml:space="preserve">Affirmed.</w:t>
      </w:r>
    </w:p>
    <w:p w:rsidR="00000000" w:rsidDel="00000000" w:rsidP="00000000" w:rsidRDefault="00000000" w:rsidRPr="00000000">
      <w:pPr>
        <w:contextualSpacing w:val="0"/>
        <w:rPr>
          <w:sz w:val="28"/>
          <w:szCs w:val="28"/>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sz w:val="24"/>
          <w:szCs w:val="24"/>
          <w:rtl w:val="0"/>
        </w:rPr>
        <w:t xml:space="preserve">Source: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https://supreme.justia.com/cases/federal/us/163/537/case.html</w:t>
        </w:r>
      </w:hyperlink>
      <w:r w:rsidDel="00000000" w:rsidR="00000000" w:rsidRPr="00000000">
        <w:rPr>
          <w:sz w:val="24"/>
          <w:szCs w:val="24"/>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preme.justia.com/cases/federal/us/163/537/case.html" TargetMode="External"/><Relationship Id="rId7" Type="http://schemas.openxmlformats.org/officeDocument/2006/relationships/hyperlink" Target="https://supreme.justia.com/cases/federal/us/163/537/c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